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9A" w:rsidRPr="00DE679A" w:rsidRDefault="00DE679A" w:rsidP="004136F8">
      <w:pPr>
        <w:tabs>
          <w:tab w:val="right" w:pos="5221"/>
        </w:tabs>
        <w:bidi/>
        <w:contextualSpacing/>
        <w:jc w:val="center"/>
        <w:rPr>
          <w:rFonts w:ascii="Andalus" w:hAnsi="Andalus" w:cs="Andalus"/>
          <w:b/>
          <w:bCs/>
          <w:noProof/>
          <w:sz w:val="18"/>
          <w:szCs w:val="18"/>
          <w:rtl/>
          <w:lang w:bidi="ar-TN"/>
        </w:rPr>
      </w:pPr>
    </w:p>
    <w:p w:rsidR="00DE679A" w:rsidRPr="00450117" w:rsidRDefault="00214EE8" w:rsidP="00390F55">
      <w:pPr>
        <w:bidi/>
        <w:spacing w:before="120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TN"/>
        </w:rPr>
      </w:pPr>
      <w:r w:rsidRPr="00450117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TN"/>
        </w:rPr>
        <w:t>الشركة التونسية للملاحة</w:t>
      </w:r>
    </w:p>
    <w:p w:rsidR="002A09CF" w:rsidRPr="00E13BA0" w:rsidRDefault="002A09CF" w:rsidP="002A09CF">
      <w:pPr>
        <w:bidi/>
        <w:jc w:val="center"/>
        <w:rPr>
          <w:rFonts w:cs="Simplified Arabic"/>
          <w:b/>
          <w:bCs/>
          <w:sz w:val="36"/>
          <w:szCs w:val="36"/>
          <w:rtl/>
          <w:lang w:bidi="ar-TN"/>
        </w:rPr>
      </w:pPr>
      <w:r w:rsidRPr="00E13BA0">
        <w:rPr>
          <w:rFonts w:cs="Simplified Arabic"/>
          <w:b/>
          <w:bCs/>
          <w:noProof/>
          <w:sz w:val="36"/>
          <w:szCs w:val="36"/>
        </w:rPr>
        <w:drawing>
          <wp:inline distT="0" distB="0" distL="0" distR="0">
            <wp:extent cx="666750" cy="266700"/>
            <wp:effectExtent l="19050" t="0" r="0" b="0"/>
            <wp:docPr id="2" name="Imag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5" cy="26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E9" w:rsidRPr="004136F8" w:rsidRDefault="00F927B6" w:rsidP="00F927B6">
      <w:pPr>
        <w:bidi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</w:pP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طلب عروض عدد</w:t>
      </w:r>
      <w:r w:rsidR="00214EE8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</w:t>
      </w:r>
      <w:r w:rsidR="00E13BA0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01</w:t>
      </w:r>
      <w:r w:rsidR="00214EE8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</w:t>
      </w:r>
      <w:r w:rsidR="00247FE9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/202</w:t>
      </w: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4</w:t>
      </w:r>
    </w:p>
    <w:p w:rsidR="00F927B6" w:rsidRPr="00450117" w:rsidRDefault="00F927B6" w:rsidP="00E13BA0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TN"/>
        </w:rPr>
      </w:pPr>
    </w:p>
    <w:p w:rsidR="00F927B6" w:rsidRPr="004136F8" w:rsidRDefault="002A09CF" w:rsidP="00F927B6">
      <w:pPr>
        <w:bidi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</w:pP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تكليف محام</w:t>
      </w:r>
      <w:r w:rsidR="00F927B6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ي أو شركة مهنية للمحاماة</w:t>
      </w: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</w:t>
      </w:r>
      <w:r w:rsidR="00247FE9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ل</w:t>
      </w: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نيابة </w:t>
      </w:r>
      <w:r w:rsidR="00214EE8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الشركة التونسية للملاحة</w:t>
      </w:r>
      <w:r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لدى المحاكم </w:t>
      </w:r>
    </w:p>
    <w:p w:rsidR="00247FE9" w:rsidRPr="004136F8" w:rsidRDefault="003228FB" w:rsidP="003228FB">
      <w:pPr>
        <w:tabs>
          <w:tab w:val="center" w:pos="5233"/>
          <w:tab w:val="left" w:pos="8351"/>
        </w:tabs>
        <w:bidi/>
        <w:spacing w:before="120"/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</w:pPr>
      <w:r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ab/>
      </w:r>
      <w:r w:rsidR="00F927B6" w:rsidRPr="004136F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وسائر الهيئات القضائيّة لسنوات 2025-2026-2027</w:t>
      </w:r>
      <w:r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ab/>
      </w:r>
    </w:p>
    <w:p w:rsidR="00DB3042" w:rsidRDefault="00DB3042" w:rsidP="00DB3042">
      <w:pPr>
        <w:bidi/>
        <w:ind w:left="-448" w:right="-284"/>
        <w:jc w:val="both"/>
        <w:rPr>
          <w:rFonts w:asciiTheme="majorBidi" w:hAnsiTheme="majorBidi" w:cstheme="majorBidi"/>
          <w:sz w:val="26"/>
          <w:szCs w:val="26"/>
          <w:rtl/>
          <w:lang w:bidi="ar-TN"/>
        </w:rPr>
      </w:pPr>
    </w:p>
    <w:p w:rsidR="00F927B6" w:rsidRDefault="002A09CF" w:rsidP="00DB3042">
      <w:pPr>
        <w:bidi/>
        <w:spacing w:before="240" w:line="440" w:lineRule="atLeast"/>
        <w:ind w:left="-164" w:right="-142"/>
        <w:jc w:val="both"/>
        <w:rPr>
          <w:rFonts w:asciiTheme="minorHAnsi" w:hAnsiTheme="minorHAnsi" w:cstheme="minorHAnsi"/>
          <w:rtl/>
          <w:lang w:bidi="ar-TN"/>
        </w:rPr>
      </w:pPr>
      <w:r w:rsidRPr="00E13BA0">
        <w:rPr>
          <w:rFonts w:asciiTheme="majorBidi" w:hAnsiTheme="majorBidi" w:cstheme="majorBidi"/>
          <w:sz w:val="26"/>
          <w:szCs w:val="26"/>
          <w:rtl/>
          <w:lang w:bidi="ar-TN"/>
        </w:rPr>
        <w:t xml:space="preserve"> </w:t>
      </w:r>
      <w:r w:rsidRPr="004136F8">
        <w:rPr>
          <w:rFonts w:asciiTheme="minorHAnsi" w:hAnsiTheme="minorHAnsi" w:cstheme="minorHAnsi"/>
          <w:rtl/>
          <w:lang w:bidi="ar-TN"/>
        </w:rPr>
        <w:t xml:space="preserve">تعتزم </w:t>
      </w:r>
      <w:r w:rsidR="00214EE8" w:rsidRPr="004136F8">
        <w:rPr>
          <w:rFonts w:asciiTheme="minorHAnsi" w:hAnsiTheme="minorHAnsi" w:cstheme="minorHAnsi"/>
          <w:rtl/>
          <w:lang w:bidi="ar-TN"/>
        </w:rPr>
        <w:t>الشركة التونسية للملاحة</w:t>
      </w:r>
      <w:r w:rsidRPr="004136F8">
        <w:rPr>
          <w:rFonts w:asciiTheme="minorHAnsi" w:hAnsiTheme="minorHAnsi" w:cstheme="minorHAnsi"/>
          <w:rtl/>
          <w:lang w:bidi="ar-TN"/>
        </w:rPr>
        <w:t xml:space="preserve"> الإعلان عن طلب عروض عدد</w:t>
      </w:r>
      <w:r w:rsidR="00214EE8" w:rsidRPr="004136F8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="00E13BA0" w:rsidRPr="004136F8">
        <w:rPr>
          <w:rFonts w:asciiTheme="minorHAnsi" w:hAnsiTheme="minorHAnsi" w:cstheme="minorHAnsi"/>
          <w:b/>
          <w:bCs/>
          <w:rtl/>
          <w:lang w:bidi="ar-TN"/>
        </w:rPr>
        <w:t>01</w:t>
      </w:r>
      <w:r w:rsidR="00247FE9" w:rsidRPr="004136F8">
        <w:rPr>
          <w:rFonts w:asciiTheme="minorHAnsi" w:hAnsiTheme="minorHAnsi" w:cstheme="minorHAnsi"/>
          <w:b/>
          <w:bCs/>
          <w:rtl/>
          <w:lang w:bidi="ar-TN"/>
        </w:rPr>
        <w:t>/202</w:t>
      </w:r>
      <w:r w:rsidR="00F927B6" w:rsidRPr="004136F8">
        <w:rPr>
          <w:rFonts w:asciiTheme="minorHAnsi" w:hAnsiTheme="minorHAnsi" w:cstheme="minorHAnsi"/>
          <w:b/>
          <w:bCs/>
          <w:rtl/>
          <w:lang w:bidi="ar-TN"/>
        </w:rPr>
        <w:t>4</w:t>
      </w:r>
      <w:r w:rsidRPr="004136F8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Pr="004136F8">
        <w:rPr>
          <w:rFonts w:asciiTheme="minorHAnsi" w:hAnsiTheme="minorHAnsi" w:cstheme="minorHAnsi"/>
          <w:rtl/>
          <w:lang w:bidi="ar-TN"/>
        </w:rPr>
        <w:t xml:space="preserve">المتعلق بتكليف </w:t>
      </w:r>
      <w:r w:rsidR="00F927B6" w:rsidRPr="004136F8">
        <w:rPr>
          <w:rFonts w:asciiTheme="minorHAnsi" w:hAnsiTheme="minorHAnsi" w:cstheme="minorHAnsi"/>
          <w:rtl/>
          <w:lang w:bidi="ar-TN"/>
        </w:rPr>
        <w:t xml:space="preserve">محامي أو شركة مهنية للمحاماة لنيابة الشركة التونسية للملاحة لدى المحاكم وسائر الهيئات القضائيّة لسنوات 2025-2026-2027 </w:t>
      </w:r>
      <w:r w:rsidRPr="004136F8">
        <w:rPr>
          <w:rFonts w:asciiTheme="minorHAnsi" w:hAnsiTheme="minorHAnsi" w:cstheme="minorHAnsi"/>
          <w:rtl/>
          <w:lang w:bidi="ar-TN"/>
        </w:rPr>
        <w:t xml:space="preserve">على </w:t>
      </w:r>
      <w:r w:rsidR="00F927B6" w:rsidRPr="004136F8">
        <w:rPr>
          <w:rFonts w:asciiTheme="minorHAnsi" w:hAnsiTheme="minorHAnsi" w:cstheme="minorHAnsi"/>
          <w:rtl/>
          <w:lang w:bidi="ar-TN"/>
        </w:rPr>
        <w:t>أربعة</w:t>
      </w:r>
      <w:r w:rsidR="00E13BA0" w:rsidRPr="004136F8">
        <w:rPr>
          <w:rFonts w:asciiTheme="minorHAnsi" w:hAnsiTheme="minorHAnsi" w:cstheme="minorHAnsi"/>
          <w:rtl/>
          <w:lang w:bidi="ar-TN"/>
        </w:rPr>
        <w:t xml:space="preserve"> </w:t>
      </w:r>
      <w:r w:rsidRPr="004136F8">
        <w:rPr>
          <w:rFonts w:asciiTheme="minorHAnsi" w:hAnsiTheme="minorHAnsi" w:cstheme="minorHAnsi"/>
          <w:rtl/>
          <w:lang w:bidi="ar-TN"/>
        </w:rPr>
        <w:t>(0</w:t>
      </w:r>
      <w:r w:rsidR="00BA05C9" w:rsidRPr="004136F8">
        <w:rPr>
          <w:rFonts w:asciiTheme="minorHAnsi" w:hAnsiTheme="minorHAnsi" w:cstheme="minorHAnsi"/>
          <w:rtl/>
          <w:lang w:bidi="ar-TN"/>
        </w:rPr>
        <w:t>4</w:t>
      </w:r>
      <w:r w:rsidRPr="004136F8">
        <w:rPr>
          <w:rFonts w:asciiTheme="minorHAnsi" w:hAnsiTheme="minorHAnsi" w:cstheme="minorHAnsi"/>
          <w:rtl/>
          <w:lang w:bidi="ar-TN"/>
        </w:rPr>
        <w:t>) أقساط</w:t>
      </w:r>
      <w:r w:rsidR="007C1E41" w:rsidRPr="004136F8">
        <w:rPr>
          <w:rFonts w:asciiTheme="minorHAnsi" w:hAnsiTheme="minorHAnsi" w:cstheme="minorHAnsi"/>
          <w:rtl/>
          <w:lang w:bidi="ar-TN"/>
        </w:rPr>
        <w:t xml:space="preserve"> طبقا لما هو منصوص عليه بكرّاس الشروط</w:t>
      </w:r>
      <w:r w:rsidRPr="004136F8">
        <w:rPr>
          <w:rFonts w:asciiTheme="minorHAnsi" w:hAnsiTheme="minorHAnsi" w:cstheme="minorHAnsi"/>
          <w:rtl/>
          <w:lang w:bidi="ar-TN"/>
        </w:rPr>
        <w:t>:</w:t>
      </w:r>
    </w:p>
    <w:p w:rsidR="00DB3042" w:rsidRPr="00DB3042" w:rsidRDefault="00DB3042" w:rsidP="00DB3042">
      <w:pPr>
        <w:bidi/>
        <w:spacing w:line="240" w:lineRule="atLeast"/>
        <w:ind w:left="-164" w:right="-142"/>
        <w:jc w:val="both"/>
        <w:rPr>
          <w:rFonts w:asciiTheme="minorHAnsi" w:hAnsiTheme="minorHAnsi" w:cstheme="minorHAnsi"/>
          <w:sz w:val="16"/>
          <w:szCs w:val="16"/>
          <w:rtl/>
          <w:lang w:bidi="ar-TN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4110"/>
        <w:gridCol w:w="3402"/>
        <w:gridCol w:w="709"/>
      </w:tblGrid>
      <w:tr w:rsidR="004136F8" w:rsidRPr="00E13BA0" w:rsidTr="003228FB"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36F8" w:rsidRPr="004136F8" w:rsidRDefault="004136F8" w:rsidP="007C1E4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136F8">
              <w:rPr>
                <w:rFonts w:asciiTheme="minorHAnsi" w:hAnsiTheme="minorHAnsi" w:cstheme="minorHAnsi" w:hint="cs"/>
                <w:b/>
                <w:bCs/>
                <w:sz w:val="20"/>
                <w:szCs w:val="20"/>
                <w:u w:val="single"/>
                <w:rtl/>
              </w:rPr>
              <w:t>محلّ المخابرة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36F8" w:rsidRPr="004136F8" w:rsidRDefault="004136F8" w:rsidP="007C1E4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4136F8">
              <w:rPr>
                <w:rFonts w:asciiTheme="minorHAnsi" w:hAnsiTheme="minorHAnsi" w:cstheme="minorHAnsi" w:hint="cs"/>
                <w:b/>
                <w:bCs/>
                <w:sz w:val="20"/>
                <w:szCs w:val="20"/>
                <w:u w:val="single"/>
                <w:rtl/>
                <w:lang w:bidi="ar-TN"/>
              </w:rPr>
              <w:t>الولايات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36F8" w:rsidRPr="004136F8" w:rsidRDefault="004136F8" w:rsidP="007C1E4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4136F8">
              <w:rPr>
                <w:rFonts w:asciiTheme="minorHAnsi" w:hAnsiTheme="minorHAnsi" w:cstheme="minorHAnsi" w:hint="cs"/>
                <w:b/>
                <w:bCs/>
                <w:sz w:val="20"/>
                <w:szCs w:val="20"/>
                <w:u w:val="single"/>
                <w:rtl/>
                <w:lang w:bidi="ar-TN"/>
              </w:rPr>
              <w:t>الترسيم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36F8" w:rsidRPr="004136F8" w:rsidRDefault="004136F8" w:rsidP="007C1E4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4136F8">
              <w:rPr>
                <w:rFonts w:asciiTheme="minorHAnsi" w:hAnsiTheme="minorHAnsi" w:cstheme="minorHAnsi" w:hint="cs"/>
                <w:b/>
                <w:bCs/>
                <w:sz w:val="20"/>
                <w:szCs w:val="20"/>
                <w:u w:val="single"/>
                <w:rtl/>
                <w:lang w:bidi="ar-TN"/>
              </w:rPr>
              <w:t>عدد المحامين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36F8" w:rsidRPr="004136F8" w:rsidRDefault="004136F8" w:rsidP="007C1E4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4136F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rtl/>
                <w:lang w:bidi="ar-TN"/>
              </w:rPr>
              <w:t>القسط</w:t>
            </w:r>
          </w:p>
        </w:tc>
      </w:tr>
      <w:tr w:rsidR="00450117" w:rsidRPr="00E13BA0" w:rsidTr="003228FB">
        <w:trPr>
          <w:trHeight w:val="856"/>
        </w:trPr>
        <w:tc>
          <w:tcPr>
            <w:tcW w:w="993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2585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rtl/>
                <w:lang w:bidi="ar-TN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</w:t>
            </w:r>
          </w:p>
        </w:tc>
        <w:tc>
          <w:tcPr>
            <w:tcW w:w="1985" w:type="dxa"/>
            <w:shd w:val="clear" w:color="auto" w:fill="auto"/>
          </w:tcPr>
          <w:p w:rsidR="004136F8" w:rsidRPr="00450117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rPr>
                <w:rFonts w:asciiTheme="minorHAnsi" w:hAnsiTheme="minorHAnsi" w:cstheme="minorHAnsi"/>
                <w:rtl/>
                <w:lang w:bidi="ar-TN"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الكبرى/ الشمال الشرقي/ الشمال الغربي</w:t>
            </w:r>
          </w:p>
        </w:tc>
        <w:tc>
          <w:tcPr>
            <w:tcW w:w="4110" w:type="dxa"/>
            <w:shd w:val="clear" w:color="auto" w:fill="auto"/>
          </w:tcPr>
          <w:p w:rsidR="004136F8" w:rsidRPr="004136F8" w:rsidRDefault="004136F8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محامين مرّسمين لدى التعقيب أو شركة مهنية ل</w:t>
            </w:r>
            <w:r w:rsid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ل</w:t>
            </w: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محاماة على أن تتضمّن على الأقلّ محام مرسّم لدى التعقيب</w:t>
            </w:r>
          </w:p>
        </w:tc>
        <w:tc>
          <w:tcPr>
            <w:tcW w:w="3402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136F8">
              <w:rPr>
                <w:rFonts w:asciiTheme="minorHAnsi" w:hAnsiTheme="minorHAnsi" w:cstheme="minorHAnsi"/>
                <w:sz w:val="22"/>
                <w:szCs w:val="22"/>
                <w:rtl/>
                <w:lang w:bidi="ar-TN"/>
              </w:rPr>
              <w:t>02 محامين (او شركة مهنية للمحاماة) متخصصين في قانون التجارة البحرية الدولية</w:t>
            </w:r>
          </w:p>
        </w:tc>
        <w:tc>
          <w:tcPr>
            <w:tcW w:w="709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34"/>
              </w:tabs>
              <w:bidi/>
              <w:spacing w:line="360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6F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450117" w:rsidRPr="00E13BA0" w:rsidTr="003228FB">
        <w:trPr>
          <w:trHeight w:val="190"/>
        </w:trPr>
        <w:tc>
          <w:tcPr>
            <w:tcW w:w="993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2585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rtl/>
                <w:lang w:bidi="ar-TN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</w:t>
            </w:r>
          </w:p>
        </w:tc>
        <w:tc>
          <w:tcPr>
            <w:tcW w:w="1985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الكبرى/ الشمال الشرقي/ الشمال الغربي</w:t>
            </w:r>
          </w:p>
        </w:tc>
        <w:tc>
          <w:tcPr>
            <w:tcW w:w="4110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محامين مرّسمين لدى التعقيب أو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 xml:space="preserve"> لدى الإستئناف لأكثر من خمس (05) سنوات أو شركة مهنيّة للمحاماة</w:t>
            </w: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 xml:space="preserve"> على أن تتضمّن على الأقلّ محام مرسّم لدى التعقيب</w:t>
            </w:r>
          </w:p>
        </w:tc>
        <w:tc>
          <w:tcPr>
            <w:tcW w:w="3402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136F8">
              <w:rPr>
                <w:rFonts w:asciiTheme="minorHAnsi" w:hAnsiTheme="minorHAnsi" w:cstheme="minorHAnsi"/>
                <w:sz w:val="22"/>
                <w:szCs w:val="22"/>
                <w:rtl/>
                <w:lang w:bidi="ar-TN"/>
              </w:rPr>
              <w:t>03 محامين أو شركة مهنية للمحاماة من بينهم محام متخصص في القانون الشغلي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34"/>
              </w:tabs>
              <w:bidi/>
              <w:spacing w:line="360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6F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50117" w:rsidRPr="00E13BA0" w:rsidTr="003228FB">
        <w:tc>
          <w:tcPr>
            <w:tcW w:w="993" w:type="dxa"/>
            <w:shd w:val="clear" w:color="auto" w:fill="auto"/>
          </w:tcPr>
          <w:p w:rsidR="004136F8" w:rsidRPr="004136F8" w:rsidRDefault="00450117" w:rsidP="0045011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rtl/>
                <w:lang w:bidi="ar-TN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سوسة/ صفاقس</w:t>
            </w:r>
          </w:p>
        </w:tc>
        <w:tc>
          <w:tcPr>
            <w:tcW w:w="1985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سوسة/ الساحل/ الوسط/ صفاقس/ الجنوب</w:t>
            </w:r>
          </w:p>
        </w:tc>
        <w:tc>
          <w:tcPr>
            <w:tcW w:w="4110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محامين مرّسمين لدى التعقيب أو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 xml:space="preserve"> لدى الإستئناف لأكثر من خمس (05) سنوات أو شركة مهنيّة للمحاماة</w:t>
            </w: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 xml:space="preserve"> على أن تتضمّن على الأقلّ محام مرسّم لدى التعقيب</w:t>
            </w:r>
          </w:p>
        </w:tc>
        <w:tc>
          <w:tcPr>
            <w:tcW w:w="3402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136F8">
              <w:rPr>
                <w:rFonts w:asciiTheme="minorHAnsi" w:hAnsiTheme="minorHAnsi" w:cstheme="minorHAnsi"/>
                <w:sz w:val="22"/>
                <w:szCs w:val="22"/>
                <w:rtl/>
                <w:lang w:bidi="ar-TN"/>
              </w:rPr>
              <w:t>02 محامين أو شركة مهنية للمحاماة</w:t>
            </w:r>
          </w:p>
        </w:tc>
        <w:tc>
          <w:tcPr>
            <w:tcW w:w="709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34"/>
              </w:tabs>
              <w:bidi/>
              <w:spacing w:line="360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6F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450117" w:rsidRPr="00E13BA0" w:rsidTr="003228FB">
        <w:tc>
          <w:tcPr>
            <w:tcW w:w="993" w:type="dxa"/>
            <w:shd w:val="clear" w:color="auto" w:fill="auto"/>
          </w:tcPr>
          <w:p w:rsidR="004136F8" w:rsidRPr="004136F8" w:rsidRDefault="00450117" w:rsidP="0045011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rtl/>
                <w:lang w:bidi="ar-TN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</w:t>
            </w:r>
          </w:p>
        </w:tc>
        <w:tc>
          <w:tcPr>
            <w:tcW w:w="1985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تونس الكبرى/ الشمال الشرقي/ الشمال الغربي</w:t>
            </w:r>
          </w:p>
        </w:tc>
        <w:tc>
          <w:tcPr>
            <w:tcW w:w="4110" w:type="dxa"/>
            <w:shd w:val="clear" w:color="auto" w:fill="auto"/>
          </w:tcPr>
          <w:p w:rsidR="004136F8" w:rsidRPr="004136F8" w:rsidRDefault="00450117" w:rsidP="00450117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50117"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>محامين مرّسمين لدى التعقيب أو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TN"/>
              </w:rPr>
              <w:t xml:space="preserve"> لدى الإستئناف لأقلّ من خمس (05) سنوات</w:t>
            </w:r>
          </w:p>
        </w:tc>
        <w:tc>
          <w:tcPr>
            <w:tcW w:w="3402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-108"/>
              </w:tabs>
              <w:bidi/>
              <w:spacing w:before="60" w:after="60" w:line="300" w:lineRule="atLeast"/>
              <w:ind w:left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4136F8">
              <w:rPr>
                <w:rFonts w:asciiTheme="minorHAnsi" w:hAnsiTheme="minorHAnsi" w:cstheme="minorHAnsi"/>
                <w:sz w:val="22"/>
                <w:szCs w:val="22"/>
                <w:rtl/>
                <w:lang w:bidi="ar-TN"/>
              </w:rPr>
              <w:t>محام وحيد</w:t>
            </w:r>
          </w:p>
        </w:tc>
        <w:tc>
          <w:tcPr>
            <w:tcW w:w="709" w:type="dxa"/>
            <w:shd w:val="clear" w:color="auto" w:fill="auto"/>
          </w:tcPr>
          <w:p w:rsidR="004136F8" w:rsidRPr="004136F8" w:rsidRDefault="004136F8" w:rsidP="004136F8">
            <w:pPr>
              <w:tabs>
                <w:tab w:val="right" w:pos="34"/>
              </w:tabs>
              <w:bidi/>
              <w:spacing w:line="360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6F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p w:rsidR="00E13BA0" w:rsidRPr="00450117" w:rsidRDefault="002A09CF" w:rsidP="00DB3042">
      <w:pPr>
        <w:bidi/>
        <w:spacing w:before="120" w:line="440" w:lineRule="atLeast"/>
        <w:ind w:left="-164" w:right="-142"/>
        <w:jc w:val="both"/>
        <w:rPr>
          <w:rFonts w:asciiTheme="minorHAnsi" w:hAnsiTheme="minorHAnsi" w:cstheme="minorHAnsi"/>
          <w:rtl/>
          <w:lang w:bidi="ar-TN"/>
        </w:rPr>
      </w:pPr>
      <w:r w:rsidRPr="00450117">
        <w:rPr>
          <w:rFonts w:asciiTheme="minorHAnsi" w:hAnsiTheme="minorHAnsi" w:cstheme="minorHAnsi"/>
          <w:rtl/>
          <w:lang w:bidi="ar-TN"/>
        </w:rPr>
        <w:t>فعلى الر</w:t>
      </w:r>
      <w:r w:rsidR="000B1188" w:rsidRPr="00450117">
        <w:rPr>
          <w:rFonts w:asciiTheme="minorHAnsi" w:hAnsiTheme="minorHAnsi" w:cstheme="minorHAnsi"/>
          <w:rtl/>
          <w:lang w:bidi="ar-TN"/>
        </w:rPr>
        <w:t>اغبين في المشاركة في طلب العروض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، تحميل</w:t>
      </w:r>
      <w:r w:rsidRPr="00450117">
        <w:rPr>
          <w:rFonts w:asciiTheme="minorHAnsi" w:hAnsiTheme="minorHAnsi" w:cstheme="minorHAnsi"/>
          <w:rtl/>
          <w:lang w:bidi="ar-TN"/>
        </w:rPr>
        <w:t xml:space="preserve"> كر</w:t>
      </w:r>
      <w:r w:rsidR="000B1188" w:rsidRPr="00450117">
        <w:rPr>
          <w:rFonts w:asciiTheme="minorHAnsi" w:hAnsiTheme="minorHAnsi" w:cstheme="minorHAnsi" w:hint="cs"/>
          <w:rtl/>
          <w:lang w:bidi="ar-TN"/>
        </w:rPr>
        <w:t>ّ</w:t>
      </w:r>
      <w:r w:rsidRPr="00450117">
        <w:rPr>
          <w:rFonts w:asciiTheme="minorHAnsi" w:hAnsiTheme="minorHAnsi" w:cstheme="minorHAnsi"/>
          <w:rtl/>
          <w:lang w:bidi="ar-TN"/>
        </w:rPr>
        <w:t xml:space="preserve">اس الشروط الخاص مجانا </w:t>
      </w:r>
      <w:r w:rsidR="00F11280" w:rsidRPr="00450117">
        <w:rPr>
          <w:rFonts w:asciiTheme="minorHAnsi" w:hAnsiTheme="minorHAnsi" w:cstheme="minorHAnsi" w:hint="cs"/>
          <w:rtl/>
          <w:lang w:bidi="ar-TN"/>
        </w:rPr>
        <w:t xml:space="preserve">من موقع </w:t>
      </w:r>
      <w:proofErr w:type="spellStart"/>
      <w:r w:rsidR="00F11280" w:rsidRPr="00450117">
        <w:rPr>
          <w:rFonts w:asciiTheme="minorHAnsi" w:hAnsiTheme="minorHAnsi" w:cstheme="minorHAnsi" w:hint="cs"/>
          <w:rtl/>
          <w:lang w:bidi="ar-TN"/>
        </w:rPr>
        <w:t>الواب</w:t>
      </w:r>
      <w:proofErr w:type="spellEnd"/>
      <w:r w:rsidR="00F11280" w:rsidRPr="00450117">
        <w:rPr>
          <w:rFonts w:asciiTheme="minorHAnsi" w:hAnsiTheme="minorHAnsi" w:cstheme="minorHAnsi" w:hint="cs"/>
          <w:rtl/>
          <w:lang w:bidi="ar-TN"/>
        </w:rPr>
        <w:t xml:space="preserve"> الخاص بالصفقات العمومية </w:t>
      </w:r>
      <w:r w:rsidR="00F11280" w:rsidRPr="00450117">
        <w:rPr>
          <w:rFonts w:asciiTheme="minorHAnsi" w:hAnsiTheme="minorHAnsi" w:cstheme="minorHAnsi"/>
          <w:lang w:bidi="ar-TN"/>
        </w:rPr>
        <w:t>(</w:t>
      </w:r>
      <w:hyperlink r:id="rId7" w:history="1">
        <w:r w:rsidR="00F11280" w:rsidRPr="00450117">
          <w:rPr>
            <w:rFonts w:asciiTheme="minorHAnsi" w:hAnsiTheme="minorHAnsi" w:cstheme="minorHAnsi"/>
            <w:lang w:bidi="ar-TN"/>
          </w:rPr>
          <w:t>www.marchespublics.gov.tn</w:t>
        </w:r>
      </w:hyperlink>
      <w:r w:rsidR="00F11280" w:rsidRPr="00450117">
        <w:rPr>
          <w:rFonts w:asciiTheme="minorHAnsi" w:hAnsiTheme="minorHAnsi" w:cstheme="minorHAnsi"/>
          <w:lang w:bidi="ar-TN"/>
        </w:rPr>
        <w:t>)</w:t>
      </w:r>
      <w:r w:rsidR="00F11280" w:rsidRPr="00450117">
        <w:rPr>
          <w:rFonts w:asciiTheme="minorHAnsi" w:hAnsiTheme="minorHAnsi" w:cstheme="minorHAnsi" w:hint="cs"/>
          <w:rtl/>
          <w:lang w:bidi="ar-TN"/>
        </w:rPr>
        <w:t xml:space="preserve"> </w:t>
      </w:r>
      <w:r w:rsidR="00370E1F" w:rsidRPr="00450117">
        <w:rPr>
          <w:rFonts w:asciiTheme="minorHAnsi" w:hAnsiTheme="minorHAnsi" w:cstheme="minorHAnsi"/>
          <w:rtl/>
          <w:lang w:bidi="ar-TN"/>
        </w:rPr>
        <w:t>بعد أن ي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تمّ</w:t>
      </w:r>
      <w:r w:rsidR="00370E1F" w:rsidRPr="00450117">
        <w:rPr>
          <w:rFonts w:asciiTheme="minorHAnsi" w:hAnsiTheme="minorHAnsi" w:cstheme="minorHAnsi"/>
          <w:rtl/>
          <w:lang w:bidi="ar-TN"/>
        </w:rPr>
        <w:t xml:space="preserve"> تعمير الاستمارة الإلكترونية الموجودة للغرض على الموقع المذكور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. كما يمكن سحب كرّاس الشروط من</w:t>
      </w:r>
      <w:r w:rsidR="000B1188" w:rsidRPr="00450117">
        <w:rPr>
          <w:rFonts w:asciiTheme="minorHAnsi" w:hAnsiTheme="minorHAnsi" w:cstheme="minorHAnsi" w:hint="cs"/>
          <w:rtl/>
          <w:lang w:bidi="ar-TN"/>
        </w:rPr>
        <w:t xml:space="preserve"> </w:t>
      </w:r>
      <w:r w:rsidR="00F11280" w:rsidRPr="00450117">
        <w:rPr>
          <w:rFonts w:asciiTheme="minorHAnsi" w:hAnsiTheme="minorHAnsi" w:cstheme="minorHAnsi" w:hint="cs"/>
          <w:rtl/>
          <w:lang w:bidi="ar-TN"/>
        </w:rPr>
        <w:t>موقع الهيئة الوطنية للمحامين (</w:t>
      </w:r>
      <w:hyperlink r:id="rId8" w:history="1">
        <w:r w:rsidR="00F11280" w:rsidRPr="00450117">
          <w:rPr>
            <w:rFonts w:asciiTheme="minorHAnsi" w:hAnsiTheme="minorHAnsi" w:cstheme="minorHAnsi"/>
            <w:lang w:bidi="ar-TN"/>
          </w:rPr>
          <w:t>https://avocat.org.tn</w:t>
        </w:r>
      </w:hyperlink>
      <w:r w:rsidR="00F11280" w:rsidRPr="00450117">
        <w:rPr>
          <w:rFonts w:asciiTheme="minorHAnsi" w:hAnsiTheme="minorHAnsi" w:cstheme="minorHAnsi" w:hint="cs"/>
          <w:rtl/>
          <w:lang w:bidi="ar-TN"/>
        </w:rPr>
        <w:t xml:space="preserve">) 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>أو موقع واب الشركة التونسية للملاحة</w:t>
      </w:r>
      <w:r w:rsidR="00450117">
        <w:rPr>
          <w:rFonts w:asciiTheme="minorHAnsi" w:hAnsiTheme="minorHAnsi" w:cstheme="minorHAnsi" w:hint="cs"/>
          <w:rtl/>
          <w:lang w:bidi="ar-TN"/>
        </w:rPr>
        <w:t xml:space="preserve"> 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>(</w:t>
      </w:r>
      <w:r w:rsidR="00E13BA0" w:rsidRPr="00450117">
        <w:rPr>
          <w:rFonts w:asciiTheme="minorHAnsi" w:hAnsiTheme="minorHAnsi" w:cstheme="minorHAnsi"/>
          <w:lang w:bidi="ar-TN"/>
        </w:rPr>
        <w:t>https://www.ctn.com.tn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>)</w:t>
      </w:r>
      <w:r w:rsidRPr="00450117">
        <w:rPr>
          <w:rFonts w:asciiTheme="minorHAnsi" w:hAnsiTheme="minorHAnsi" w:cstheme="minorHAnsi"/>
          <w:rtl/>
          <w:lang w:bidi="ar-TN"/>
        </w:rPr>
        <w:t>. وبالإضافة إلى ذلك، فإن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ّ</w:t>
      </w:r>
      <w:r w:rsidRPr="00450117">
        <w:rPr>
          <w:rFonts w:asciiTheme="minorHAnsi" w:hAnsiTheme="minorHAnsi" w:cstheme="minorHAnsi"/>
          <w:rtl/>
          <w:lang w:bidi="ar-TN"/>
        </w:rPr>
        <w:t>ه يمكن سحب كر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ّ</w:t>
      </w:r>
      <w:r w:rsidRPr="00450117">
        <w:rPr>
          <w:rFonts w:asciiTheme="minorHAnsi" w:hAnsiTheme="minorHAnsi" w:cstheme="minorHAnsi"/>
          <w:rtl/>
          <w:lang w:bidi="ar-TN"/>
        </w:rPr>
        <w:t xml:space="preserve">اس الشروط مباشرة 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 xml:space="preserve">من </w:t>
      </w:r>
      <w:r w:rsidR="00450117">
        <w:rPr>
          <w:rFonts w:asciiTheme="minorHAnsi" w:hAnsiTheme="minorHAnsi" w:cstheme="minorHAnsi" w:hint="cs"/>
          <w:rtl/>
          <w:lang w:bidi="ar-TN"/>
        </w:rPr>
        <w:t>إدارة الشؤون القانونية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 xml:space="preserve"> و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 xml:space="preserve">التأمين (مكتب عدد </w:t>
      </w:r>
      <w:r w:rsidR="00E13BA0" w:rsidRPr="00450117">
        <w:rPr>
          <w:rFonts w:asciiTheme="minorHAnsi" w:hAnsiTheme="minorHAnsi" w:cstheme="minorHAnsi"/>
          <w:lang w:bidi="ar-TN"/>
        </w:rPr>
        <w:t>A58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>) بالشركة الكائن مقرّها بـ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 xml:space="preserve">عدد 5 شارع داق </w:t>
      </w:r>
      <w:proofErr w:type="spellStart"/>
      <w:r w:rsidR="00E13BA0" w:rsidRPr="00450117">
        <w:rPr>
          <w:rFonts w:asciiTheme="minorHAnsi" w:hAnsiTheme="minorHAnsi" w:cstheme="minorHAnsi" w:hint="cs"/>
          <w:rtl/>
          <w:lang w:bidi="ar-TN"/>
        </w:rPr>
        <w:t>همارق</w:t>
      </w:r>
      <w:proofErr w:type="spellEnd"/>
      <w:r w:rsidR="00E13BA0" w:rsidRPr="00450117">
        <w:rPr>
          <w:rFonts w:asciiTheme="minorHAnsi" w:hAnsiTheme="minorHAnsi" w:cstheme="minorHAnsi" w:hint="cs"/>
          <w:rtl/>
          <w:lang w:bidi="ar-TN"/>
        </w:rPr>
        <w:t xml:space="preserve"> </w:t>
      </w:r>
      <w:proofErr w:type="spellStart"/>
      <w:r w:rsidR="00E13BA0" w:rsidRPr="00450117">
        <w:rPr>
          <w:rFonts w:asciiTheme="minorHAnsi" w:hAnsiTheme="minorHAnsi" w:cstheme="minorHAnsi" w:hint="cs"/>
          <w:rtl/>
          <w:lang w:bidi="ar-TN"/>
        </w:rPr>
        <w:t>شولد</w:t>
      </w:r>
      <w:proofErr w:type="spellEnd"/>
      <w:r w:rsidR="00E13BA0" w:rsidRPr="00450117">
        <w:rPr>
          <w:rFonts w:asciiTheme="minorHAnsi" w:hAnsiTheme="minorHAnsi" w:cstheme="minorHAnsi" w:hint="cs"/>
          <w:rtl/>
          <w:lang w:bidi="ar-TN"/>
        </w:rPr>
        <w:t xml:space="preserve"> </w:t>
      </w:r>
      <w:r w:rsidR="00370E1F" w:rsidRPr="00450117">
        <w:rPr>
          <w:rFonts w:asciiTheme="minorHAnsi" w:hAnsiTheme="minorHAnsi" w:cstheme="minorHAnsi"/>
          <w:rtl/>
          <w:lang w:bidi="ar-TN"/>
        </w:rPr>
        <w:t>–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 xml:space="preserve"> 1001 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>تونس ال</w:t>
      </w:r>
      <w:r w:rsidR="00370E1F" w:rsidRPr="00450117">
        <w:rPr>
          <w:rFonts w:asciiTheme="minorHAnsi" w:hAnsiTheme="minorHAnsi" w:cstheme="minorHAnsi" w:hint="cs"/>
          <w:rtl/>
          <w:lang w:bidi="ar-TN"/>
        </w:rPr>
        <w:t xml:space="preserve">جمهورية </w:t>
      </w:r>
      <w:r w:rsidR="00E13BA0" w:rsidRPr="00450117">
        <w:rPr>
          <w:rFonts w:asciiTheme="minorHAnsi" w:hAnsiTheme="minorHAnsi" w:cstheme="minorHAnsi" w:hint="cs"/>
          <w:rtl/>
          <w:lang w:bidi="ar-TN"/>
        </w:rPr>
        <w:t>بدون مقابل.</w:t>
      </w:r>
    </w:p>
    <w:p w:rsidR="0054118C" w:rsidRPr="00DB3042" w:rsidRDefault="002A09CF" w:rsidP="00390F55">
      <w:pPr>
        <w:bidi/>
        <w:spacing w:before="120" w:line="440" w:lineRule="atLeast"/>
        <w:ind w:left="-164" w:right="-142"/>
        <w:jc w:val="both"/>
        <w:rPr>
          <w:rFonts w:asciiTheme="minorHAnsi" w:hAnsiTheme="minorHAnsi" w:cstheme="minorHAnsi"/>
          <w:rtl/>
          <w:lang w:bidi="ar-TN"/>
        </w:rPr>
      </w:pPr>
      <w:r w:rsidRPr="00DB3042">
        <w:rPr>
          <w:rFonts w:asciiTheme="minorHAnsi" w:hAnsiTheme="minorHAnsi" w:cstheme="minorHAnsi"/>
          <w:rtl/>
          <w:lang w:bidi="ar-TN"/>
        </w:rPr>
        <w:t>يجب أن توجه الظروف المحتوية على ا</w:t>
      </w:r>
      <w:r w:rsidR="00370E1F" w:rsidRPr="00DB3042">
        <w:rPr>
          <w:rFonts w:asciiTheme="minorHAnsi" w:hAnsiTheme="minorHAnsi" w:cstheme="minorHAnsi"/>
          <w:rtl/>
          <w:lang w:bidi="ar-TN"/>
        </w:rPr>
        <w:t>لعروض الفنية والوثائق الإدارية</w:t>
      </w:r>
      <w:r w:rsidRPr="00DB3042">
        <w:rPr>
          <w:rFonts w:asciiTheme="minorHAnsi" w:hAnsiTheme="minorHAnsi" w:cstheme="minorHAnsi"/>
          <w:rtl/>
          <w:lang w:bidi="ar-TN"/>
        </w:rPr>
        <w:t xml:space="preserve"> التي تحمل عبارة :</w:t>
      </w:r>
      <w:r w:rsidRPr="00DB3042">
        <w:rPr>
          <w:rFonts w:asciiTheme="majorBidi" w:hAnsiTheme="majorBidi" w:cstheme="majorBidi"/>
          <w:rtl/>
          <w:lang w:bidi="ar-TN"/>
        </w:rPr>
        <w:t xml:space="preserve"> </w:t>
      </w:r>
      <w:r w:rsidR="00E13BA0" w:rsidRPr="00DB3042">
        <w:rPr>
          <w:rFonts w:asciiTheme="minorHAnsi" w:hAnsiTheme="minorHAnsi" w:cstheme="minorHAnsi"/>
          <w:b/>
          <w:bCs/>
          <w:rtl/>
          <w:lang w:bidi="ar-TN"/>
        </w:rPr>
        <w:t>" لا يفتح طلب عروض عدد</w:t>
      </w:r>
      <w:r w:rsidR="00F11280" w:rsidRPr="00DB3042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="00E13BA0" w:rsidRPr="00DB3042">
        <w:rPr>
          <w:rFonts w:asciiTheme="minorHAnsi" w:hAnsiTheme="minorHAnsi" w:cstheme="minorHAnsi"/>
          <w:b/>
          <w:bCs/>
          <w:rtl/>
          <w:lang w:bidi="ar-TN"/>
        </w:rPr>
        <w:t>01</w:t>
      </w:r>
      <w:r w:rsidR="00F11280" w:rsidRPr="00DB3042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="00247FE9" w:rsidRPr="00DB3042">
        <w:rPr>
          <w:rFonts w:asciiTheme="minorHAnsi" w:hAnsiTheme="minorHAnsi" w:cstheme="minorHAnsi"/>
          <w:b/>
          <w:bCs/>
          <w:rtl/>
          <w:lang w:bidi="ar-TN"/>
        </w:rPr>
        <w:t>/202</w:t>
      </w:r>
      <w:r w:rsidR="00370E1F" w:rsidRPr="00DB3042">
        <w:rPr>
          <w:rFonts w:asciiTheme="minorHAnsi" w:hAnsiTheme="minorHAnsi" w:cstheme="minorHAnsi"/>
          <w:b/>
          <w:bCs/>
          <w:rtl/>
          <w:lang w:bidi="ar-TN"/>
        </w:rPr>
        <w:t>4</w:t>
      </w:r>
      <w:r w:rsidRPr="00DB3042">
        <w:rPr>
          <w:rFonts w:asciiTheme="minorHAnsi" w:hAnsiTheme="minorHAnsi" w:cstheme="minorHAnsi"/>
          <w:b/>
          <w:bCs/>
          <w:rtl/>
          <w:lang w:bidi="ar-TN"/>
        </w:rPr>
        <w:t xml:space="preserve"> الم</w:t>
      </w:r>
      <w:r w:rsidR="00247FE9" w:rsidRPr="00DB3042">
        <w:rPr>
          <w:rFonts w:asciiTheme="minorHAnsi" w:hAnsiTheme="minorHAnsi" w:cstheme="minorHAnsi"/>
          <w:b/>
          <w:bCs/>
          <w:rtl/>
          <w:lang w:bidi="ar-TN"/>
        </w:rPr>
        <w:t>تعلق بتكليف</w:t>
      </w:r>
      <w:r w:rsidR="00370E1F" w:rsidRPr="00DB3042">
        <w:rPr>
          <w:rFonts w:asciiTheme="minorHAnsi" w:hAnsiTheme="minorHAnsi" w:cstheme="minorHAnsi"/>
          <w:b/>
          <w:bCs/>
          <w:rtl/>
          <w:lang w:bidi="ar-TN"/>
        </w:rPr>
        <w:t xml:space="preserve"> محامي أو شركة مهنية للمحاماة لنيابة الشركة التونسية للملاحة لدى المحاكم وسائر الهيئات القضائيّة لسنوات 2025-2026-2027 </w:t>
      </w:r>
      <w:r w:rsidRPr="00DB3042">
        <w:rPr>
          <w:rFonts w:asciiTheme="minorHAnsi" w:hAnsiTheme="minorHAnsi" w:cstheme="minorHAnsi"/>
          <w:b/>
          <w:bCs/>
          <w:rtl/>
          <w:lang w:bidi="ar-TN"/>
        </w:rPr>
        <w:t>"</w:t>
      </w:r>
      <w:r w:rsidR="004F6CF4" w:rsidRPr="00DB3042">
        <w:rPr>
          <w:rFonts w:asciiTheme="minorHAnsi" w:hAnsiTheme="minorHAnsi" w:cstheme="minorHAnsi"/>
          <w:rtl/>
          <w:lang w:bidi="ar-TN"/>
        </w:rPr>
        <w:t>، مع التنصيص على القسط المشارك فيه،</w:t>
      </w:r>
      <w:r w:rsidRPr="00DB3042">
        <w:rPr>
          <w:rFonts w:asciiTheme="minorHAnsi" w:hAnsiTheme="minorHAnsi" w:cstheme="minorHAnsi"/>
          <w:rtl/>
          <w:lang w:bidi="ar-TN"/>
        </w:rPr>
        <w:t xml:space="preserve"> عن طريق البريد مضمون الوصول أو عن طريق البريد السريع أو ت</w:t>
      </w:r>
      <w:r w:rsidR="00370E1F" w:rsidRPr="00DB3042">
        <w:rPr>
          <w:rFonts w:asciiTheme="minorHAnsi" w:hAnsiTheme="minorHAnsi" w:cstheme="minorHAnsi"/>
          <w:rtl/>
          <w:lang w:bidi="ar-TN"/>
        </w:rPr>
        <w:t>ُ</w:t>
      </w:r>
      <w:r w:rsidRPr="00DB3042">
        <w:rPr>
          <w:rFonts w:asciiTheme="minorHAnsi" w:hAnsiTheme="minorHAnsi" w:cstheme="minorHAnsi"/>
          <w:rtl/>
          <w:lang w:bidi="ar-TN"/>
        </w:rPr>
        <w:t xml:space="preserve">سلّم مباشرة إلى مكتب الضبط التابع </w:t>
      </w:r>
      <w:r w:rsidR="004F6CF4" w:rsidRPr="00DB3042">
        <w:rPr>
          <w:rFonts w:asciiTheme="minorHAnsi" w:hAnsiTheme="minorHAnsi" w:cstheme="minorHAnsi"/>
          <w:rtl/>
          <w:lang w:bidi="ar-TN"/>
        </w:rPr>
        <w:t>للشركة التونسية للملاحة</w:t>
      </w:r>
      <w:r w:rsidRPr="00DB3042">
        <w:rPr>
          <w:rFonts w:asciiTheme="minorHAnsi" w:hAnsiTheme="minorHAnsi" w:cstheme="minorHAnsi"/>
          <w:rtl/>
          <w:lang w:bidi="ar-TN"/>
        </w:rPr>
        <w:t xml:space="preserve"> بالعنوان التالي "</w:t>
      </w:r>
      <w:r w:rsidR="004F6CF4" w:rsidRPr="00DB3042">
        <w:rPr>
          <w:rFonts w:asciiTheme="minorHAnsi" w:hAnsiTheme="minorHAnsi" w:cstheme="minorHAnsi"/>
          <w:rtl/>
          <w:lang w:bidi="ar-TN"/>
        </w:rPr>
        <w:t>05</w:t>
      </w:r>
      <w:r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="004F6CF4" w:rsidRPr="00DB3042">
        <w:rPr>
          <w:rFonts w:asciiTheme="minorHAnsi" w:hAnsiTheme="minorHAnsi" w:cstheme="minorHAnsi"/>
          <w:rtl/>
          <w:lang w:bidi="ar-TN"/>
        </w:rPr>
        <w:t xml:space="preserve">شارع داق </w:t>
      </w:r>
      <w:proofErr w:type="spellStart"/>
      <w:r w:rsidR="004F6CF4" w:rsidRPr="00DB3042">
        <w:rPr>
          <w:rFonts w:asciiTheme="minorHAnsi" w:hAnsiTheme="minorHAnsi" w:cstheme="minorHAnsi"/>
          <w:rtl/>
          <w:lang w:bidi="ar-TN"/>
        </w:rPr>
        <w:t>همارق</w:t>
      </w:r>
      <w:proofErr w:type="spellEnd"/>
      <w:r w:rsidR="004F6CF4" w:rsidRPr="00DB3042">
        <w:rPr>
          <w:rFonts w:asciiTheme="minorHAnsi" w:hAnsiTheme="minorHAnsi" w:cstheme="minorHAnsi"/>
          <w:rtl/>
          <w:lang w:bidi="ar-TN"/>
        </w:rPr>
        <w:t xml:space="preserve"> </w:t>
      </w:r>
      <w:proofErr w:type="spellStart"/>
      <w:r w:rsidR="004F6CF4" w:rsidRPr="00DB3042">
        <w:rPr>
          <w:rFonts w:asciiTheme="minorHAnsi" w:hAnsiTheme="minorHAnsi" w:cstheme="minorHAnsi"/>
          <w:rtl/>
          <w:lang w:bidi="ar-TN"/>
        </w:rPr>
        <w:t>شولد</w:t>
      </w:r>
      <w:proofErr w:type="spellEnd"/>
      <w:r w:rsidR="004F6CF4"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="00370E1F" w:rsidRPr="00DB3042">
        <w:rPr>
          <w:rFonts w:asciiTheme="minorHAnsi" w:hAnsiTheme="minorHAnsi" w:cstheme="minorHAnsi"/>
          <w:rtl/>
          <w:lang w:bidi="ar-TN"/>
        </w:rPr>
        <w:t xml:space="preserve">1001 </w:t>
      </w:r>
      <w:r w:rsidR="004F6CF4" w:rsidRPr="00DB3042">
        <w:rPr>
          <w:rFonts w:asciiTheme="minorHAnsi" w:hAnsiTheme="minorHAnsi" w:cstheme="minorHAnsi"/>
          <w:rtl/>
          <w:lang w:bidi="ar-TN"/>
        </w:rPr>
        <w:t>تونس ا</w:t>
      </w:r>
      <w:r w:rsidR="00370E1F" w:rsidRPr="00DB3042">
        <w:rPr>
          <w:rFonts w:asciiTheme="minorHAnsi" w:hAnsiTheme="minorHAnsi" w:cstheme="minorHAnsi"/>
          <w:rtl/>
          <w:lang w:bidi="ar-TN"/>
        </w:rPr>
        <w:t>لجمهورية</w:t>
      </w:r>
      <w:r w:rsidRPr="00DB3042">
        <w:rPr>
          <w:rFonts w:asciiTheme="minorHAnsi" w:hAnsiTheme="minorHAnsi" w:cstheme="minorHAnsi"/>
          <w:rtl/>
          <w:lang w:bidi="ar-TN"/>
        </w:rPr>
        <w:t xml:space="preserve"> "</w:t>
      </w:r>
      <w:r w:rsidR="00370E1F"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="0054118C" w:rsidRPr="00DB3042">
        <w:rPr>
          <w:rFonts w:asciiTheme="minorHAnsi" w:hAnsiTheme="minorHAnsi" w:cstheme="minorHAnsi"/>
          <w:rtl/>
          <w:lang w:bidi="ar-TN"/>
        </w:rPr>
        <w:t>مقابل وصل إيداع</w:t>
      </w:r>
      <w:r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Pr="00DB3042">
        <w:rPr>
          <w:rFonts w:asciiTheme="minorHAnsi" w:hAnsiTheme="minorHAnsi" w:cstheme="minorHAnsi"/>
          <w:b/>
          <w:bCs/>
          <w:rtl/>
          <w:lang w:bidi="ar-TN"/>
        </w:rPr>
        <w:t xml:space="preserve">و ذلك في أجل أقصاه </w:t>
      </w:r>
      <w:r w:rsidR="00247FE9" w:rsidRPr="00DB3042">
        <w:rPr>
          <w:rFonts w:asciiTheme="minorHAnsi" w:hAnsiTheme="minorHAnsi" w:cstheme="minorHAnsi"/>
          <w:b/>
          <w:bCs/>
          <w:rtl/>
          <w:lang w:bidi="ar-TN"/>
        </w:rPr>
        <w:t>يوم</w:t>
      </w:r>
      <w:r w:rsidR="00E13BA0" w:rsidRPr="00DB3042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="00390F55">
        <w:rPr>
          <w:rFonts w:asciiTheme="minorHAnsi" w:hAnsiTheme="minorHAnsi" w:cstheme="minorHAnsi" w:hint="cs"/>
          <w:b/>
          <w:bCs/>
          <w:rtl/>
          <w:lang w:bidi="ar-TN"/>
        </w:rPr>
        <w:t>20 نوفمبر 2024</w:t>
      </w:r>
      <w:r w:rsidR="00E13BA0" w:rsidRPr="00DB3042">
        <w:rPr>
          <w:rFonts w:asciiTheme="minorHAnsi" w:hAnsiTheme="minorHAnsi" w:cstheme="minorHAnsi"/>
          <w:rtl/>
          <w:lang w:bidi="ar-TN"/>
        </w:rPr>
        <w:t xml:space="preserve"> على</w:t>
      </w:r>
      <w:r w:rsidR="00E13BA0" w:rsidRPr="00DB3042">
        <w:rPr>
          <w:rFonts w:asciiTheme="minorHAnsi" w:hAnsiTheme="minorHAnsi" w:cstheme="minorHAnsi"/>
          <w:b/>
          <w:bCs/>
          <w:rtl/>
          <w:lang w:bidi="ar-TN"/>
        </w:rPr>
        <w:t xml:space="preserve"> الساعة ال</w:t>
      </w:r>
      <w:r w:rsidR="00370E1F" w:rsidRPr="00DB3042">
        <w:rPr>
          <w:rFonts w:asciiTheme="minorHAnsi" w:hAnsiTheme="minorHAnsi" w:cstheme="minorHAnsi"/>
          <w:b/>
          <w:bCs/>
          <w:rtl/>
          <w:lang w:bidi="ar-TN"/>
        </w:rPr>
        <w:t>تاسعة والنصف</w:t>
      </w:r>
      <w:r w:rsidR="00E13BA0" w:rsidRPr="00DB3042">
        <w:rPr>
          <w:rFonts w:asciiTheme="minorHAnsi" w:hAnsiTheme="minorHAnsi" w:cstheme="minorHAnsi"/>
          <w:b/>
          <w:bCs/>
          <w:rtl/>
          <w:lang w:bidi="ar-TN"/>
        </w:rPr>
        <w:t xml:space="preserve"> صباحا</w:t>
      </w:r>
      <w:r w:rsidR="00370E1F" w:rsidRPr="00DB3042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Pr="00DB3042">
        <w:rPr>
          <w:rFonts w:asciiTheme="minorHAnsi" w:hAnsiTheme="minorHAnsi" w:cstheme="minorHAnsi"/>
          <w:b/>
          <w:bCs/>
          <w:rtl/>
          <w:lang w:bidi="ar-TN"/>
        </w:rPr>
        <w:t>(</w:t>
      </w:r>
      <w:r w:rsidR="00370E1F" w:rsidRPr="00DB3042">
        <w:rPr>
          <w:rFonts w:asciiTheme="minorHAnsi" w:hAnsiTheme="minorHAnsi" w:cstheme="minorHAnsi"/>
          <w:b/>
          <w:bCs/>
          <w:lang w:bidi="ar-TN"/>
        </w:rPr>
        <w:t>09</w:t>
      </w:r>
      <w:r w:rsidRPr="00DB3042">
        <w:rPr>
          <w:rFonts w:asciiTheme="minorHAnsi" w:hAnsiTheme="minorHAnsi" w:cstheme="minorHAnsi"/>
          <w:b/>
          <w:bCs/>
          <w:lang w:bidi="ar-TN"/>
        </w:rPr>
        <w:t>h</w:t>
      </w:r>
      <w:r w:rsidR="00370E1F" w:rsidRPr="00DB3042">
        <w:rPr>
          <w:rFonts w:asciiTheme="minorHAnsi" w:hAnsiTheme="minorHAnsi" w:cstheme="minorHAnsi"/>
          <w:b/>
          <w:bCs/>
          <w:lang w:bidi="ar-TN"/>
        </w:rPr>
        <w:t>3</w:t>
      </w:r>
      <w:r w:rsidRPr="00DB3042">
        <w:rPr>
          <w:rFonts w:asciiTheme="minorHAnsi" w:hAnsiTheme="minorHAnsi" w:cstheme="minorHAnsi"/>
          <w:b/>
          <w:bCs/>
          <w:lang w:bidi="ar-TN"/>
        </w:rPr>
        <w:t>0</w:t>
      </w:r>
      <w:r w:rsidR="00247FE9" w:rsidRPr="00DB3042">
        <w:rPr>
          <w:rFonts w:asciiTheme="minorHAnsi" w:hAnsiTheme="minorHAnsi" w:cstheme="minorHAnsi"/>
          <w:b/>
          <w:bCs/>
          <w:rtl/>
          <w:lang w:bidi="ar-TN"/>
        </w:rPr>
        <w:t>)</w:t>
      </w:r>
      <w:r w:rsidR="00E13BA0"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="00247FE9" w:rsidRPr="00DB3042">
        <w:rPr>
          <w:rFonts w:asciiTheme="minorHAnsi" w:hAnsiTheme="minorHAnsi" w:cstheme="minorHAnsi"/>
          <w:rtl/>
          <w:lang w:bidi="ar-TN"/>
        </w:rPr>
        <w:t xml:space="preserve">(يتم اعتماد ختم مكتب الضبط المركزي). </w:t>
      </w:r>
    </w:p>
    <w:p w:rsidR="002A09CF" w:rsidRPr="00DB3042" w:rsidRDefault="00247FE9" w:rsidP="00390F55">
      <w:pPr>
        <w:bidi/>
        <w:spacing w:before="120" w:line="440" w:lineRule="atLeast"/>
        <w:ind w:left="-164" w:right="-142"/>
        <w:jc w:val="both"/>
        <w:rPr>
          <w:rFonts w:asciiTheme="minorHAnsi" w:hAnsiTheme="minorHAnsi" w:cstheme="minorHAnsi"/>
          <w:rtl/>
          <w:lang w:bidi="ar-TN"/>
        </w:rPr>
      </w:pPr>
      <w:r w:rsidRPr="00DB3042">
        <w:rPr>
          <w:rFonts w:asciiTheme="minorHAnsi" w:hAnsiTheme="minorHAnsi" w:cstheme="minorHAnsi"/>
          <w:rtl/>
          <w:lang w:bidi="ar-TN"/>
        </w:rPr>
        <w:t xml:space="preserve">تفتح الظروف في الجلسة العلنية التي ستعقد </w:t>
      </w:r>
      <w:r w:rsidR="00E13BA0" w:rsidRPr="00DB3042">
        <w:rPr>
          <w:rFonts w:asciiTheme="minorHAnsi" w:hAnsiTheme="minorHAnsi" w:cstheme="minorHAnsi"/>
          <w:rtl/>
          <w:lang w:bidi="ar-TN"/>
        </w:rPr>
        <w:t xml:space="preserve">بتاريخ </w:t>
      </w:r>
      <w:r w:rsidR="00390F55">
        <w:rPr>
          <w:rFonts w:asciiTheme="minorHAnsi" w:hAnsiTheme="minorHAnsi" w:cstheme="minorHAnsi" w:hint="cs"/>
          <w:b/>
          <w:bCs/>
          <w:rtl/>
          <w:lang w:bidi="ar-TN"/>
        </w:rPr>
        <w:t>20 نوفمبر 2024</w:t>
      </w:r>
      <w:r w:rsidRPr="00DB3042">
        <w:rPr>
          <w:rFonts w:asciiTheme="minorHAnsi" w:hAnsiTheme="minorHAnsi" w:cstheme="minorHAnsi"/>
          <w:b/>
          <w:bCs/>
          <w:rtl/>
          <w:lang w:bidi="ar-TN"/>
        </w:rPr>
        <w:t xml:space="preserve"> </w:t>
      </w:r>
      <w:r w:rsidRPr="00DB3042">
        <w:rPr>
          <w:rFonts w:asciiTheme="minorHAnsi" w:hAnsiTheme="minorHAnsi" w:cstheme="minorHAnsi"/>
          <w:rtl/>
          <w:lang w:bidi="ar-TN"/>
        </w:rPr>
        <w:t>على الساعة</w:t>
      </w:r>
      <w:r w:rsidR="00B673EA" w:rsidRPr="00DB3042">
        <w:rPr>
          <w:rFonts w:asciiTheme="minorHAnsi" w:hAnsiTheme="minorHAnsi" w:cstheme="minorHAnsi"/>
          <w:rtl/>
          <w:lang w:bidi="ar-TN"/>
        </w:rPr>
        <w:t xml:space="preserve"> العاشرة صباحا</w:t>
      </w:r>
      <w:r w:rsidR="00E13BA0"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Pr="00DB3042">
        <w:rPr>
          <w:rFonts w:asciiTheme="minorHAnsi" w:hAnsiTheme="minorHAnsi" w:cstheme="minorHAnsi"/>
          <w:rtl/>
          <w:lang w:bidi="ar-TN"/>
        </w:rPr>
        <w:t>بمقر</w:t>
      </w:r>
      <w:r w:rsidR="00B673EA" w:rsidRPr="00DB3042">
        <w:rPr>
          <w:rFonts w:asciiTheme="minorHAnsi" w:hAnsiTheme="minorHAnsi" w:cstheme="minorHAnsi"/>
          <w:rtl/>
          <w:lang w:bidi="ar-TN"/>
        </w:rPr>
        <w:t>ّ</w:t>
      </w:r>
      <w:r w:rsidRPr="00DB3042">
        <w:rPr>
          <w:rFonts w:asciiTheme="minorHAnsi" w:hAnsiTheme="minorHAnsi" w:cstheme="minorHAnsi"/>
          <w:rtl/>
          <w:lang w:bidi="ar-TN"/>
        </w:rPr>
        <w:t xml:space="preserve"> </w:t>
      </w:r>
      <w:r w:rsidR="004F6CF4" w:rsidRPr="00DB3042">
        <w:rPr>
          <w:rFonts w:asciiTheme="minorHAnsi" w:hAnsiTheme="minorHAnsi" w:cstheme="minorHAnsi"/>
          <w:rtl/>
          <w:lang w:bidi="ar-TN"/>
        </w:rPr>
        <w:t>الشركة التونسية للملاحة</w:t>
      </w:r>
      <w:r w:rsidRPr="00DB3042">
        <w:rPr>
          <w:rFonts w:asciiTheme="minorHAnsi" w:hAnsiTheme="minorHAnsi" w:cstheme="minorHAnsi"/>
          <w:rtl/>
          <w:lang w:bidi="ar-TN"/>
        </w:rPr>
        <w:t>.</w:t>
      </w:r>
    </w:p>
    <w:p w:rsidR="002A09CF" w:rsidRPr="00DB3042" w:rsidRDefault="002A09CF" w:rsidP="00DB3042">
      <w:pPr>
        <w:bidi/>
        <w:spacing w:before="120" w:line="440" w:lineRule="atLeast"/>
        <w:ind w:left="-164" w:right="-142"/>
        <w:jc w:val="both"/>
        <w:rPr>
          <w:rFonts w:asciiTheme="minorHAnsi" w:hAnsiTheme="minorHAnsi" w:cstheme="minorHAnsi"/>
          <w:lang w:bidi="ar-TN"/>
        </w:rPr>
      </w:pPr>
      <w:r w:rsidRPr="00DB3042">
        <w:rPr>
          <w:rFonts w:asciiTheme="minorHAnsi" w:hAnsiTheme="minorHAnsi" w:cstheme="minorHAnsi"/>
          <w:rtl/>
          <w:lang w:bidi="ar-TN"/>
        </w:rPr>
        <w:t xml:space="preserve">يصبح المشاركون ملزمين بعروضهم بمجرّد تقديمها لمدة </w:t>
      </w:r>
      <w:r w:rsidR="00B673EA" w:rsidRPr="00DB3042">
        <w:rPr>
          <w:rFonts w:asciiTheme="minorHAnsi" w:hAnsiTheme="minorHAnsi" w:cstheme="minorHAnsi"/>
          <w:rtl/>
          <w:lang w:bidi="ar-TN"/>
        </w:rPr>
        <w:t xml:space="preserve">مائة وعشرون </w:t>
      </w:r>
      <w:r w:rsidRPr="00DB3042">
        <w:rPr>
          <w:rFonts w:asciiTheme="minorHAnsi" w:hAnsiTheme="minorHAnsi" w:cstheme="minorHAnsi"/>
          <w:rtl/>
          <w:lang w:bidi="ar-TN"/>
        </w:rPr>
        <w:t>يوما (</w:t>
      </w:r>
      <w:r w:rsidR="00B673EA" w:rsidRPr="00DB3042">
        <w:rPr>
          <w:rFonts w:asciiTheme="minorHAnsi" w:hAnsiTheme="minorHAnsi" w:cstheme="minorHAnsi"/>
          <w:rtl/>
          <w:lang w:bidi="ar-TN"/>
        </w:rPr>
        <w:t>12</w:t>
      </w:r>
      <w:r w:rsidR="004F6CF4" w:rsidRPr="00DB3042">
        <w:rPr>
          <w:rFonts w:asciiTheme="minorHAnsi" w:hAnsiTheme="minorHAnsi" w:cstheme="minorHAnsi"/>
          <w:rtl/>
          <w:lang w:bidi="ar-TN"/>
        </w:rPr>
        <w:t>0</w:t>
      </w:r>
      <w:r w:rsidRPr="00DB3042">
        <w:rPr>
          <w:rFonts w:asciiTheme="minorHAnsi" w:hAnsiTheme="minorHAnsi" w:cstheme="minorHAnsi"/>
          <w:rtl/>
          <w:lang w:bidi="ar-TN"/>
        </w:rPr>
        <w:t xml:space="preserve"> يوما) ابتداء من اليوم الموالي للتاريخ الأقصى المحدد لقبول العروض.</w:t>
      </w:r>
    </w:p>
    <w:p w:rsidR="002A09CF" w:rsidRPr="00DB3042" w:rsidRDefault="002A09CF" w:rsidP="00DB3042">
      <w:pPr>
        <w:bidi/>
        <w:spacing w:before="120" w:line="440" w:lineRule="atLeast"/>
        <w:ind w:left="-164" w:right="-142"/>
        <w:jc w:val="both"/>
        <w:rPr>
          <w:rFonts w:asciiTheme="minorHAnsi" w:hAnsiTheme="minorHAnsi" w:cstheme="minorHAnsi"/>
          <w:rtl/>
          <w:lang w:bidi="ar-TN"/>
        </w:rPr>
      </w:pPr>
      <w:r w:rsidRPr="00DB3042">
        <w:rPr>
          <w:rFonts w:asciiTheme="minorHAnsi" w:hAnsiTheme="minorHAnsi" w:cstheme="minorHAnsi"/>
          <w:rtl/>
          <w:lang w:bidi="ar-TN"/>
        </w:rPr>
        <w:t>لا يمكن لكل عارض المشاركة في أكثر من قسط واحد.</w:t>
      </w:r>
    </w:p>
    <w:sectPr w:rsidR="002A09CF" w:rsidRPr="00DB3042" w:rsidSect="003228FB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58BF"/>
    <w:multiLevelType w:val="hybridMultilevel"/>
    <w:tmpl w:val="C1D6D36E"/>
    <w:lvl w:ilvl="0" w:tplc="B096F18A">
      <w:start w:val="1"/>
      <w:numFmt w:val="decimal"/>
      <w:lvlText w:val="%1."/>
      <w:lvlJc w:val="left"/>
      <w:pPr>
        <w:ind w:left="720" w:hanging="360"/>
      </w:pPr>
      <w:rPr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9CF"/>
    <w:rsid w:val="000356D3"/>
    <w:rsid w:val="00096AE8"/>
    <w:rsid w:val="000B1188"/>
    <w:rsid w:val="00115738"/>
    <w:rsid w:val="00214256"/>
    <w:rsid w:val="00214EE8"/>
    <w:rsid w:val="00247FE9"/>
    <w:rsid w:val="002A09CF"/>
    <w:rsid w:val="003228FB"/>
    <w:rsid w:val="003342A7"/>
    <w:rsid w:val="00370E1F"/>
    <w:rsid w:val="00390F55"/>
    <w:rsid w:val="004136F8"/>
    <w:rsid w:val="00450117"/>
    <w:rsid w:val="004A1183"/>
    <w:rsid w:val="004B6D4D"/>
    <w:rsid w:val="004F6CF4"/>
    <w:rsid w:val="0054118C"/>
    <w:rsid w:val="005530BA"/>
    <w:rsid w:val="00584BFF"/>
    <w:rsid w:val="007C1E41"/>
    <w:rsid w:val="008F01FC"/>
    <w:rsid w:val="008F230B"/>
    <w:rsid w:val="009642FD"/>
    <w:rsid w:val="00A4713B"/>
    <w:rsid w:val="00B673EA"/>
    <w:rsid w:val="00BA05C9"/>
    <w:rsid w:val="00C640CE"/>
    <w:rsid w:val="00DB3042"/>
    <w:rsid w:val="00DE679A"/>
    <w:rsid w:val="00E13BA0"/>
    <w:rsid w:val="00F11280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BCB2-1A61-4C27-AD01-65C504A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9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9C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F11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ocat.org.t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rchespublics.gov.t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61A9-B82A-4766-842C-59D6694F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CTN</cp:lastModifiedBy>
  <cp:revision>4</cp:revision>
  <cp:lastPrinted>2024-10-25T09:52:00Z</cp:lastPrinted>
  <dcterms:created xsi:type="dcterms:W3CDTF">2024-10-25T11:05:00Z</dcterms:created>
  <dcterms:modified xsi:type="dcterms:W3CDTF">2024-10-29T07:44:00Z</dcterms:modified>
</cp:coreProperties>
</file>